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81" w:rsidRPr="007920D6" w:rsidRDefault="00D62A81" w:rsidP="00D62A81">
      <w:pPr>
        <w:spacing w:beforeLines="40" w:before="96" w:afterLines="40" w:after="96"/>
        <w:jc w:val="center"/>
        <w:rPr>
          <w:rFonts w:ascii="Times New Roman" w:hAnsi="Times New Roman"/>
          <w:b/>
          <w:sz w:val="40"/>
          <w:szCs w:val="40"/>
        </w:rPr>
      </w:pPr>
      <w:r w:rsidRPr="007920D6">
        <w:rPr>
          <w:rFonts w:ascii="Times New Roman" w:hAnsi="Times New Roman"/>
          <w:b/>
          <w:sz w:val="40"/>
          <w:szCs w:val="40"/>
        </w:rPr>
        <w:t>THÔNG TIN BÁO CHÍ</w:t>
      </w:r>
    </w:p>
    <w:p w:rsidR="00D62A81" w:rsidRPr="007920D6" w:rsidRDefault="00D62A81" w:rsidP="00D62A81">
      <w:pPr>
        <w:spacing w:beforeLines="40" w:before="96" w:afterLines="40" w:after="96"/>
        <w:rPr>
          <w:rFonts w:ascii="Times New Roman" w:hAnsi="Times New Roman"/>
        </w:rPr>
      </w:pPr>
      <w:r w:rsidRPr="007920D6">
        <w:rPr>
          <w:rFonts w:ascii="Times New Roman" w:hAnsi="Times New Roman"/>
        </w:rPr>
        <w:t xml:space="preserve">    THÔNG TIN CHỈ ĐẠO, ĐIỀU HÀNH CỦA CHÍNH PHỦ, THỦ TƯỚNG CHÍNH PHỦ </w:t>
      </w:r>
    </w:p>
    <w:p w:rsidR="00D62A81" w:rsidRPr="00590952" w:rsidRDefault="00D62A81" w:rsidP="00D62A81">
      <w:pPr>
        <w:spacing w:before="120" w:after="120"/>
        <w:ind w:firstLine="720"/>
        <w:jc w:val="both"/>
        <w:rPr>
          <w:rFonts w:ascii="Times New Roman" w:hAnsi="Times New Roman"/>
          <w:b/>
          <w:sz w:val="28"/>
          <w:szCs w:val="28"/>
        </w:rPr>
      </w:pPr>
    </w:p>
    <w:p w:rsidR="00DF5F69" w:rsidRPr="00DF5F69" w:rsidRDefault="00DF5F69" w:rsidP="00DF5F69">
      <w:pPr>
        <w:spacing w:before="120" w:after="120"/>
        <w:ind w:firstLine="720"/>
        <w:outlineLvl w:val="0"/>
        <w:rPr>
          <w:rFonts w:ascii="Times New Roman" w:eastAsia="Times New Roman" w:hAnsi="Times New Roman"/>
          <w:b/>
          <w:bCs/>
          <w:kern w:val="36"/>
          <w:sz w:val="32"/>
          <w:szCs w:val="32"/>
        </w:rPr>
      </w:pPr>
      <w:r w:rsidRPr="00DF5F69">
        <w:rPr>
          <w:rFonts w:ascii="Times New Roman" w:eastAsia="Times New Roman" w:hAnsi="Times New Roman"/>
          <w:b/>
          <w:bCs/>
          <w:kern w:val="36"/>
          <w:sz w:val="32"/>
          <w:szCs w:val="32"/>
        </w:rPr>
        <w:t>Thủ tướng chỉ thị tiếp tục các biện pháp phòng, chống dịch COVID-19 trong tình hình mới</w:t>
      </w:r>
    </w:p>
    <w:p w:rsidR="00DF5F69" w:rsidRPr="00DF5F69" w:rsidRDefault="00DF5F69" w:rsidP="00DF5F69">
      <w:pPr>
        <w:spacing w:before="120" w:after="120"/>
        <w:ind w:firstLine="720"/>
        <w:jc w:val="both"/>
        <w:rPr>
          <w:rFonts w:ascii="Times New Roman" w:hAnsi="Times New Roman"/>
          <w:sz w:val="28"/>
          <w:szCs w:val="28"/>
        </w:rPr>
      </w:pPr>
      <w:r w:rsidRPr="00DF5F69">
        <w:rPr>
          <w:rFonts w:ascii="Times New Roman" w:hAnsi="Times New Roman"/>
          <w:sz w:val="28"/>
          <w:szCs w:val="28"/>
        </w:rPr>
        <w:t>Thủ tướng Chính phủ vừa có Chỉ thị 19/CT-TTg về tiếp tục thực hiện các biện pháp phòng, chống dịch COVID-19 trong tình hình mới.</w:t>
      </w:r>
    </w:p>
    <w:p w:rsidR="00DF5F69" w:rsidRPr="00DF5F69" w:rsidRDefault="00DF5F69" w:rsidP="00DF5F69">
      <w:pPr>
        <w:pStyle w:val="NormalWeb"/>
        <w:spacing w:before="120" w:beforeAutospacing="0" w:after="120" w:afterAutospacing="0"/>
        <w:ind w:firstLine="720"/>
        <w:rPr>
          <w:sz w:val="28"/>
          <w:szCs w:val="28"/>
        </w:rPr>
      </w:pPr>
      <w:r w:rsidRPr="00DF5F69">
        <w:rPr>
          <w:sz w:val="28"/>
          <w:szCs w:val="28"/>
        </w:rPr>
        <w:t>Chỉ thị nêu rõ:</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Dịch bệnh COVID-19 đã lan rộng trên toàn thế giới, làm hàng triệu người mắc, hàng trăm ngàn người tử vong, ảnh hưởng nghiêm trọng đến các hoạt động kinh tế - xã hội trên phạm vi toàn cầu. Sau 3 tuần thực hiện cách ly toàn xã hội theo Chỉ thị số 16/CT-TTg ngày 31/3/2020 của Thủ tướng Chính phủ, cả nước đã phát hiện và xử lý kịp thời các ổ dịch, tiếp tục kiểm soát, hạn chế tốc độ lây nhiễm trong cộng đồng, điều trị khỏi đa số người mắc và chưa có trường hợp tử vong. Tuy nhiên, dịch bệnh tiếp tục diễn biến phức tạp, nguy cơ bùng phát vẫn ở mức cao, ảnh hưởng xấu đến kinh tế - xã hội, đời sống nhân dân.</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Nhằm thực hiện hiệu quả các biện pháp phòng, chống dịch, đồng thời khởi động lại và tiếp tục phát triển kinh tế, bảo đảm an sinh và ổn định xã hội, Thủ tướng Chính phủ yêu cầu:</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1. Các Bộ, cơ quan ngang Bộ, cơ quan thuộc Chính phủ, UBND tỉnh, thành phố trực thuộc Trung ương tiếp tục quán triệt, thực hiện nghiêm các quan điểm, nguyên tắc, phương châm:</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a) Thống nhất nhận thức và hành động, quán triệt sâu sắc quan điểm “chống dịch như chống giặc”, huy động sự vào cuộc của cả hệ thống chính trị và mọi người dân, đề cao kỷ luật, kỷ cương, trách nhiệm của người đứng đầu, thực hiện nghiêm các biện pháp phòng, chống dịch theo chỉ đạo của Bộ Chính trị, Ban Bí thư, Quốc hội, Chính phủ, Thủ tướng Chính phủ. Đồng thời thực hiện mục tiêu tiếp tục phát triển sản xuất kinh doanh, giải quyết việc làm với sự quản lý cụ thể của Chủ tịch UBND tỉnh, thành phố trực thuộc Trung ương với các điều kiện cụ thể;</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b) Cán bộ, đảng viên, công chức, viên chức phải gương mẫu, đi đầu trong việc thực hiện các biện pháp phòng, chống dịch;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xml:space="preserve">c) Kiên định thực hiện các nguyên tắc phòng, chống dịch: ngăn chặn, phát hiện, cách ly, khoanh vùng, dập dịch đồng thời với việc làm tốt công tác điều trị, </w:t>
      </w:r>
      <w:r w:rsidRPr="00DF5F69">
        <w:rPr>
          <w:sz w:val="28"/>
          <w:szCs w:val="28"/>
        </w:rPr>
        <w:lastRenderedPageBreak/>
        <w:t>hạn chế thấp nhất người tử vong; phương châm “4 tại chỗ”, tuyệt đối không lơ là, chủ quan;</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d) Được nới lỏng các biện pháp hạn chế để phục vụ phòng, chống dịch đã thực hiện phù hợp với diễn biến dịch bệnh; khôi phục các hoạt động kinh tế - xã hội trên cơ sở bảo đảm kiểm soát tốt dịch bệnh, nhất là tại Thành phố Hà Nội, Thành phố Hồ Chí Minh và các đô thị lớn.</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2. Các Bộ, cơ quan liên quan, UBND tỉnh, thành phố trực thuộc Trung ương tiếp tục chỉ đạo thực hiện các biện pháp:</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a) Người dân thường xuyên rửa tay bằng xà phòng hoặc dung dịch sát khuẩn; đeo khẩu trang khi ra ngoài; giữ khoảng cách an toàn khi tiếp xúc; không tập trung đông người tại nơi công cộng, ngoài phạm vi công sở, trường học, bệnh viện;</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b) Tiếp tục dừng các hoạt động lễ hội, nghi lễ tôn giáo, giải đấu thể thao, sự kiện có tập trung đông người tại nơi công cộng, sân vận động và các sự kiện lớn chưa cần thiết.</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c) Tạm đình chỉ hoạt động các cơ sở kinh doanh dịch vụ không thiết yếu (khu vui chơi, giải trí, cơ sở làm đẹp, karaoke, mát-xa, quán bar, vũ trường…) và các cơ sở kinh doanh dịch vụ khác theo quyết định hoặc chỉ đạo của Chủ tịch UBND tỉnh, thành phố trực thuộc Trung ương.</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d) Các cơ sở kinh doanh thương mại dịch vụ (bán buôn, bán lẻ, xổ số kiến thiết, khách sạn, cơ sở lưu</w:t>
      </w:r>
      <w:r w:rsidRPr="007B71B7">
        <w:rPr>
          <w:sz w:val="28"/>
          <w:szCs w:val="28"/>
        </w:rPr>
        <w:t xml:space="preserve"> </w:t>
      </w:r>
      <w:r w:rsidR="007B71B7" w:rsidRPr="007B71B7">
        <w:rPr>
          <w:sz w:val="28"/>
          <w:szCs w:val="28"/>
        </w:rPr>
        <w:t>trú</w:t>
      </w:r>
      <w:r w:rsidRPr="00DF5F69">
        <w:rPr>
          <w:sz w:val="28"/>
          <w:szCs w:val="28"/>
        </w:rPr>
        <w:t>, nhà hàng, quán ăn…) trừ các cơ sở nêu tại điểm c mục 2 trên đây, kh</w:t>
      </w:r>
      <w:bookmarkStart w:id="0" w:name="_GoBack"/>
      <w:bookmarkEnd w:id="0"/>
      <w:r w:rsidRPr="00DF5F69">
        <w:rPr>
          <w:sz w:val="28"/>
          <w:szCs w:val="28"/>
        </w:rPr>
        <w:t>u tập luyện thể thao, khu di tích, danh lam thắng cảnh được hoạt động trở lại nhưng phải thực hiện các biện pháp bảo đảm an toàn phòng, chống dịch như: Trang bị phòng hộ cho nhân viên, đo thân nhiệt khách đến; bố trí đầy đủ phương tiện, vật tư để rửa tay, sát khuẩn tại cơ sở và bảo đảm giãn cách khi tiếp xúc.</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đ) Hoạt động vận chuyển hành khách công cộng liên tỉnh, nội tỉnh được hoạt động trở lại, nhưng phải thực hiện các biện pháp bảo đảm an toàn phòng, chống dịch theo hướng dẫn của Bộ Giao thông vận tải như: hành khách và lái xe phải đeo khẩu trang, bố trí đầy đủ phương tiện, xà phòng, dung dịch sát khuẩn để rửa tay cho hành khách.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Riêng đối với vận chuyển hành khách bằng đường hàng không, áp dụng các biện pháp phù hợp đặc thù ngành hàng không, bảo đảm an toàn cho hành khách, ngăn ngừa lây nhiễm dịch bệnh.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e) Giảm, giãn số học sinh trong phòng học, bố trí lệch giờ học, ăn trưa, sinh hoạt tập thể bảo đảm không tập trung đông người; thực hiện khử trùng, vệ sinh lớp học; kết hợp học trực tuyến, thực hiện các biện pháp phòng bệnh cho học sinh.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g) Nhà máy, cơ sở sản xuất tiếp tục hoạt động và phải thực hiện các biện pháp phòng, chống dịch cho công nhân, người lao động.</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lastRenderedPageBreak/>
        <w:t>h) Người đứng đầu cơ quan, đơn vị, tổ chức, cơ sở chịu trách nhiệm xây dựng phương án làm việc cho cơ quan đơn vị một cách phù hợp bảo đảm an toàn cho cán bộ, nhân viên; không tổ chức các cuộc họp, hội nghị đông người chưa cần thiết, không để đình trệ công việc nhất là các công việc có thời hạn, thời hiệu theo quy định của pháp luật, các dịch vụ công phục vụ người dân và doanh nghiệp.</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Đối với các sự kiện phục vụ mục đích chính trị, kinh tế, xã hội thực sự cần thiết phải tổ chức thì do cấp ủy, chính quyền địa phương quyết định và thực hiện các biện pháp phòng, chống lây nhiễm như: đeo khẩu trang, sát trùng tay, ngồi giãn cách; thực hiện giám sát về y tế; không tổ chức liên hoan, tiệc mừng.</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3. Thủ tướng Chính phủ xem xét, quyết định mức nguy cơ lây nhiễm dịch bệnh đối với từng tỉnh, thành phố trực thuộc Trung ương theo đề xuất của Ban Chỉ đạo Quốc gia phòng, chống dịch COVID-19.</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xml:space="preserve">4. Chủ tịch UBND tỉnh, thành phố trực thuộc Trung ương ngoài chỉ đạo thực hiện các biện pháp quy định tại mục 2 nêu trên, chịu trách nhiệm tổ chức thực hiện các biện pháp phòng, chống dịch tương ứng với các mức nguy cơ, bảo đảm các yêu cầu sau: </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a) Tỉnh, thành phố trực thuộc Trung ương, địa bàn có nguy cơ cao tiếp tục thực hiện nghiêm các biện pháp phòng, chống dịch theo Chỉ thị số 16/CT-TTg ngày 31/3/2020 của Thủ tướng Chính phủ.</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b) Tỉnh, thành phố trực thuộc Trung ương có nguy cơ:</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Khuyến cáo người dân không ra khỏi nhà nếu không cần thiết và thực hiện các biện pháp phòng, chống dịch.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Không tập trung quá 20 người tại nơi công cộng, ngoài phạm vi công sở, trường học, bệnh viện; giữ khoảng cách tối thiểu 01m khi tiếp xúc.</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c) Các tỉnh, thành phố trực thuộc Trung ương có mức nguy cơ thấp:</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Tuyên truyền, vận động người dân không ra khỏi nhà nếu không cần thiết và thực hiện các biện pháp phòng, chống dịch.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Không tập trung quá 30 người tại nơi công cộng, ngoài phạm vi công sở, trường học, bệnh viện; giữ khoảng cách tối thiểu 01m khi tiếp xúc.</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d) Chủ tịch UBND tỉnh, thành phố trực thuộc Trung ương liên quan xác định phạm vi khu vực nguy cơ cao trên địa bàn và chỉ đạo thực hiện nghiêm các biện pháp phòng, chống dịch theo Chỉ thị số 16/CT-TTg ngày 31/3/2020 của Thủ tướng Chính phủ.</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xml:space="preserve">5. Bộ Y tế tập trung chỉ đạo: </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a) Kịp thời phát hiện, cách ly, khoanh vùng, xử lý triệt để các ổ dịch; ứng dụng công nghệ thông tin để tìm kiếm, xác định các trường hợp có nguy cơ lây nhiễm.</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xml:space="preserve">b) Tổ chức phân luồng, phân tuyến điều trị hợp lý ngay từ khâu tiếp đón bệnh nhân, phòng ngừa lây nhiễm tại các cơ sở y tế, bảo đảm an toàn đối với cán </w:t>
      </w:r>
      <w:r w:rsidRPr="00DF5F69">
        <w:rPr>
          <w:sz w:val="28"/>
          <w:szCs w:val="28"/>
        </w:rPr>
        <w:lastRenderedPageBreak/>
        <w:t>bộ y tế, người tham gia phòng, chống dịch, người cao tuổi, người có bệnh lý nền, các đối tượng yếu thế.</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c) Hướng dẫn thực hiện các biện pháp phòng, chống dịch tại các cơ sở sản xuất, kinh doanh, dịch vụ, phương tiện vận tải.</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6. Các Bộ: Quốc phòng, Công an, Ngoại giao tiếp tục chỉ đạo tổ chức thực hiện nghiêm việc hạn chế nhập cảnh; kiểm soát chặt chẽ người nhập cảnh; tất cả các trường hợp được nhập cảnh phải thực hiện cách ly theo quy định.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7. Các Bộ: Quốc phòng, Y tế, UBND tỉnh, thành phố trực thuộc Trung ương có liên quan tiếp tục tổ chức tốt việc thực hiện cách ly, cải thiện điều kiện sinh hoạt tại các cơ sở cách ly tập trung.</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8. Các Bộ, cơ quan ngang bộ hướng dẫn các biện pháp phòng, chống dịch, bảo đảm an toàn tại các cơ sở và hoạt động thuộc phạm vi, lĩnh vực quản lý.</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9. Các Bộ: Thông tin và Truyền thông, Khoa học và Công nghệ, Giáo dục và Đào tạo, Công Thương, Văn phòng Chính phủ chỉ đạo thực hiện ứng dụng công nghệ thông tin trong khám bệnh, chữa bệnh, làm việc, học tập trực tuyến, thương mại điện tử, thanh toán không dùng tiền mặt và thực hiện các thủ tục hành chính, dịch vụ công, thúc đẩy xây dựng Chính phủ điện tử và kinh tế số.</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10. Các Bộ, cơ quan ngang Bộ, UBND tỉnh, thành phố trực thuộc Trung ương tiếp tục đẩy mạnh công tác thông tin tuyên truyền về phòng, chống dịch bệnh và phát triển kinh tế xã hội; tăng cường thanh tra, kiểm tra xử lý nghiêm các tổ chức, cá nhân thiếu trách nhiệm hoặc có hành vi vi phạm quy định phòng, chống dịch, kể cả xử lý hình sự (nếu có).</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11. Các Bộ, cơ quan liên quan, UBND tỉnh, thành phố trực thuộc Trung ương tập trung chỉ đạo thực hiện các biện pháp phát triển kinh tế - xã hội, trong đó:</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a) Bộ Công Thương, các bộ, ngành liên quan tập trung, khẩn trương thúc đẩy việc ký kết các hợp đồng xuất khẩu với các nước EVFTA; chuẩn bị sẵn sàng các điều kiện cần thiết, hàng hóa, nhất là các hàng hóa có lợi thế và tiềm năng xuất khẩu để triển khai ngay sau khi các nước dỡ bỏ phong tỏa, mở cửa trở lại.</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b) Tiếp tục rà soát, bảo đảm nguồn cung và vận chuyển, cung ứng nguyên vật liệu đầu vào cho sản xuất, xuất khẩu.</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c) Thúc đẩy phát triển thị trường nội địa, có các biện pháp kích cầu, đẩy mạnh tiêu dùng, nhất là thương mại điện tử, hệ thống bán lẻ, đảm bảo đủ hàng hóa thiết yếu cho người dân trong mọi tình huống; dần từng bước mở lại du lịch nội địa.</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d) Chủ động nghiên cứu, xây dựng phương án khởi động lại các hoạt động kinh tế - xã hội, đảm bảo nguyên tắc an toàn phòng, chống dịch.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 xml:space="preserve">12. Các Bộ: Lao động – Thương binh và Xã hội, Tài chính, UBND các tỉnh, thành phố trực thuộc Trung ương khẩn trương triển khai thực hiện các biện pháp bảo đảm an sinh xã hội theo đúng Nghị quyết số 42/NQ-CP ngày 9/4/2020 </w:t>
      </w:r>
      <w:r w:rsidRPr="00DF5F69">
        <w:rPr>
          <w:sz w:val="28"/>
          <w:szCs w:val="28"/>
        </w:rPr>
        <w:lastRenderedPageBreak/>
        <w:t>của Chính phủ về các biện pháp hỗ trợ người dân gặp khó khăn do đại dịch COVID-19 bảo đảm kịp thời, công khai, minh bạch, đúng đối tượng.</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13. Đề nghị Mặt trận Tổ quốc Việt Nam và các tổ chức đoàn thể phối hợp với chính quyền các cấp tăng cường vận động nhân dân nâng cao ý thức tự giác, tích cực tham gia phòng, chống dịch.</w:t>
      </w:r>
    </w:p>
    <w:p w:rsidR="00DF5F69" w:rsidRPr="00DF5F69" w:rsidRDefault="00DF5F69" w:rsidP="00DF5F69">
      <w:pPr>
        <w:pStyle w:val="NormalWeb"/>
        <w:spacing w:before="120" w:beforeAutospacing="0" w:after="120" w:afterAutospacing="0"/>
        <w:ind w:firstLine="720"/>
        <w:jc w:val="both"/>
        <w:rPr>
          <w:sz w:val="28"/>
          <w:szCs w:val="28"/>
        </w:rPr>
      </w:pPr>
      <w:r w:rsidRPr="00DF5F69">
        <w:rPr>
          <w:sz w:val="28"/>
          <w:szCs w:val="28"/>
        </w:rPr>
        <w:t>14. Yêu cầu các Bộ trưởng, Thủ trưởng cơ quan ngang Bộ, Thủ trưởng cơ quan thuộc Chính phủ, Chủ tịch UBND tỉnh, thành phố trực thuộc Trung ương, các tổ chức đơn vị, cá nhân có liên quan thực hiện nghiêm Chỉ thị này./.</w:t>
      </w:r>
    </w:p>
    <w:p w:rsidR="00D62A81" w:rsidRPr="00C0774F" w:rsidRDefault="00D62A81" w:rsidP="00D62A81">
      <w:pPr>
        <w:spacing w:before="120" w:after="120"/>
        <w:ind w:firstLine="720"/>
        <w:jc w:val="center"/>
        <w:rPr>
          <w:sz w:val="26"/>
          <w:szCs w:val="26"/>
          <w:lang w:val="fr-FR"/>
        </w:rPr>
      </w:pPr>
      <w:r w:rsidRPr="00C0774F">
        <w:rPr>
          <w:sz w:val="26"/>
          <w:szCs w:val="26"/>
          <w:lang w:val="fr-FR"/>
        </w:rPr>
        <w:t>________________</w:t>
      </w:r>
    </w:p>
    <w:p w:rsidR="00D62A81" w:rsidRDefault="00D62A81" w:rsidP="00D62A81"/>
    <w:p w:rsidR="00D62A81" w:rsidRDefault="00D62A81" w:rsidP="00D62A81"/>
    <w:p w:rsidR="00D62A81" w:rsidRDefault="00D62A81" w:rsidP="00D62A81"/>
    <w:p w:rsidR="00D62A81" w:rsidRDefault="00D62A81" w:rsidP="00D62A81"/>
    <w:p w:rsidR="00D62A81" w:rsidRDefault="00D62A81" w:rsidP="00D62A81"/>
    <w:p w:rsidR="00D62A81" w:rsidRDefault="00D62A81" w:rsidP="00D62A81"/>
    <w:p w:rsidR="00A22A53" w:rsidRDefault="00A22A53"/>
    <w:sectPr w:rsidR="00A22A53" w:rsidSect="000148E4">
      <w:footerReference w:type="default" r:id="rId7"/>
      <w:headerReference w:type="first" r:id="rId8"/>
      <w:footerReference w:type="first" r:id="rId9"/>
      <w:pgSz w:w="11901" w:h="16840" w:code="9"/>
      <w:pgMar w:top="562" w:right="1138" w:bottom="142"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68" w:rsidRDefault="002C2E68">
      <w:r>
        <w:separator/>
      </w:r>
    </w:p>
  </w:endnote>
  <w:endnote w:type="continuationSeparator" w:id="0">
    <w:p w:rsidR="002C2E68" w:rsidRDefault="002C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2D" w:rsidRDefault="002C2E68" w:rsidP="00A51197">
    <w:pPr>
      <w:pBdr>
        <w:bottom w:val="single" w:sz="6" w:space="1" w:color="auto"/>
      </w:pBdr>
      <w:jc w:val="center"/>
      <w:rPr>
        <w:rFonts w:ascii="Times New Roman" w:hAnsi="Times New Roman"/>
        <w:sz w:val="28"/>
        <w:szCs w:val="28"/>
      </w:rPr>
    </w:pPr>
  </w:p>
  <w:p w:rsidR="00D31A2D" w:rsidRPr="009D0B96" w:rsidRDefault="00AC2586" w:rsidP="00A51197">
    <w:pPr>
      <w:jc w:val="center"/>
      <w:rPr>
        <w:rFonts w:ascii="Times New Roman" w:hAnsi="Times New Roman"/>
        <w:color w:val="0060A8"/>
        <w:sz w:val="20"/>
        <w:szCs w:val="20"/>
      </w:rPr>
    </w:pP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8"/>
        <w:szCs w:val="28"/>
      </w:rPr>
      <w:softHyphen/>
    </w:r>
    <w:r w:rsidRPr="009D0B96">
      <w:rPr>
        <w:rFonts w:ascii="Times New Roman" w:hAnsi="Times New Roman"/>
        <w:color w:val="0060A8"/>
        <w:sz w:val="20"/>
        <w:szCs w:val="20"/>
      </w:rPr>
      <w:t>Cổng Thông tin điện tử Chính phủ, Văn phòng Chính phủ : 080.44818 - 080.49195 - 080.43830</w:t>
    </w:r>
  </w:p>
  <w:p w:rsidR="00D31A2D" w:rsidRPr="009D0B96" w:rsidRDefault="00AC2586" w:rsidP="00BD215F">
    <w:pPr>
      <w:jc w:val="center"/>
      <w:rPr>
        <w:rFonts w:ascii="Times New Roman" w:hAnsi="Times New Roman"/>
        <w:color w:val="0060A8"/>
        <w:sz w:val="20"/>
        <w:szCs w:val="20"/>
      </w:rPr>
    </w:pPr>
    <w:r w:rsidRPr="009D0B96">
      <w:rPr>
        <w:rFonts w:ascii="Times New Roman" w:hAnsi="Times New Roman"/>
        <w:color w:val="0060A8"/>
        <w:sz w:val="20"/>
        <w:szCs w:val="20"/>
      </w:rPr>
      <w:t xml:space="preserve">Fax: 080.43.829 - Email: </w:t>
    </w:r>
    <w:hyperlink r:id="rId1" w:history="1">
      <w:r w:rsidRPr="009D0B96">
        <w:rPr>
          <w:rStyle w:val="Hyperlink"/>
          <w:rFonts w:ascii="Times New Roman" w:hAnsi="Times New Roman"/>
          <w:color w:val="0060A8"/>
          <w:sz w:val="20"/>
          <w:szCs w:val="20"/>
        </w:rPr>
        <w:t>thongtinbaochi@chinhphu.vn</w:t>
      </w:r>
    </w:hyperlink>
    <w:r w:rsidRPr="009D0B96">
      <w:rPr>
        <w:rFonts w:ascii="Times New Roman" w:hAnsi="Times New Roman"/>
        <w:color w:val="0060A8"/>
        <w:sz w:val="20"/>
        <w:szCs w:val="20"/>
      </w:rPr>
      <w:t xml:space="preserve"> - Địa chỉ: Số 16 Lê Hồng Phong, Ba Đình, Hà Nội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2D" w:rsidRDefault="00AC2586" w:rsidP="007A4CA0">
    <w:pPr>
      <w:pBdr>
        <w:bottom w:val="single" w:sz="4" w:space="1" w:color="auto"/>
      </w:pBdr>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D31A2D" w:rsidRPr="00C82ACE" w:rsidRDefault="00AC2586" w:rsidP="007A4CA0">
    <w:pPr>
      <w:jc w:val="center"/>
      <w:rPr>
        <w:rFonts w:ascii="Times New Roman" w:hAnsi="Times New Roman"/>
        <w:color w:val="0258B6"/>
        <w:sz w:val="20"/>
        <w:szCs w:val="20"/>
      </w:rPr>
    </w:pPr>
    <w:r w:rsidRPr="00C82ACE">
      <w:rPr>
        <w:rFonts w:ascii="Times New Roman" w:hAnsi="Times New Roman"/>
        <w:color w:val="0258B6"/>
        <w:sz w:val="20"/>
        <w:szCs w:val="20"/>
      </w:rPr>
      <w:t>Cổng Thông tin điện tử Chính phủ, Văn phòng Chính phủ : 080.44818 - 080.49195 - 080.43830</w:t>
    </w:r>
  </w:p>
  <w:p w:rsidR="00D31A2D" w:rsidRPr="00C82ACE" w:rsidRDefault="00AC2586" w:rsidP="007A4CA0">
    <w:pPr>
      <w:jc w:val="center"/>
      <w:rPr>
        <w:rFonts w:ascii="Times New Roman" w:hAnsi="Times New Roman"/>
        <w:color w:val="0258B6"/>
        <w:sz w:val="20"/>
        <w:szCs w:val="20"/>
      </w:rPr>
    </w:pPr>
    <w:r w:rsidRPr="00C82ACE">
      <w:rPr>
        <w:rFonts w:ascii="Times New Roman" w:hAnsi="Times New Roman"/>
        <w:color w:val="0258B6"/>
        <w:sz w:val="20"/>
        <w:szCs w:val="20"/>
      </w:rPr>
      <w:t xml:space="preserve">Fax: 080.43.829 - Email: </w:t>
    </w:r>
    <w:hyperlink r:id="rId1" w:history="1">
      <w:r w:rsidRPr="00C82ACE">
        <w:rPr>
          <w:rStyle w:val="Hyperlink"/>
          <w:rFonts w:ascii="Times New Roman" w:hAnsi="Times New Roman"/>
          <w:color w:val="0258B6"/>
          <w:sz w:val="20"/>
          <w:szCs w:val="20"/>
        </w:rPr>
        <w:t>thongtinbaochi@chinhphu.vn</w:t>
      </w:r>
    </w:hyperlink>
    <w:r w:rsidRPr="00C82ACE">
      <w:rPr>
        <w:rFonts w:ascii="Times New Roman" w:hAnsi="Times New Roman"/>
        <w:color w:val="0258B6"/>
        <w:sz w:val="20"/>
        <w:szCs w:val="20"/>
      </w:rPr>
      <w:t xml:space="preserve"> - Địa chỉ: Số 16 Lê Hồng Phong, Ba Đình, Hà Nội</w:t>
    </w:r>
  </w:p>
  <w:p w:rsidR="00D31A2D" w:rsidRDefault="002C2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68" w:rsidRDefault="002C2E68">
      <w:r>
        <w:separator/>
      </w:r>
    </w:p>
  </w:footnote>
  <w:footnote w:type="continuationSeparator" w:id="0">
    <w:p w:rsidR="002C2E68" w:rsidRDefault="002C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2D" w:rsidRDefault="00AC2586" w:rsidP="00CE311D">
    <w:pPr>
      <w:rPr>
        <w:rFonts w:ascii="Arial" w:eastAsia="Arial Unicode MS" w:hAnsi="Arial" w:cs="Arial"/>
        <w:b/>
      </w:rPr>
    </w:pPr>
    <w:r>
      <w:rPr>
        <w:b/>
        <w:noProof/>
        <w:sz w:val="18"/>
        <w:szCs w:val="18"/>
      </w:rPr>
      <w:drawing>
        <wp:inline distT="0" distB="0" distL="0" distR="0" wp14:anchorId="022720D1" wp14:editId="322295BE">
          <wp:extent cx="704850" cy="685800"/>
          <wp:effectExtent l="0" t="0" r="0" b="0"/>
          <wp:docPr id="1" name="Picture 1" descr="Quoc%20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c%20hu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r w:rsidRPr="009E13AA">
      <w:t xml:space="preserve">  </w:t>
    </w:r>
    <w:r>
      <w:t xml:space="preserve"> </w:t>
    </w:r>
    <w:r w:rsidRPr="009D0B96">
      <w:rPr>
        <w:rFonts w:ascii="Times New Roman" w:hAnsi="Times New Roman"/>
        <w:b/>
        <w:color w:val="0060A8"/>
        <w:sz w:val="22"/>
        <w:szCs w:val="22"/>
      </w:rPr>
      <w:t>VĂN PHÒNG CHÍNH PHỦ</w:t>
    </w:r>
  </w:p>
  <w:p w:rsidR="00D31A2D" w:rsidRDefault="002C2E68" w:rsidP="007A4CA0">
    <w:pPr>
      <w:pStyle w:val="Header"/>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81"/>
    <w:rsid w:val="002C2E68"/>
    <w:rsid w:val="004530C6"/>
    <w:rsid w:val="00712B10"/>
    <w:rsid w:val="007B71B7"/>
    <w:rsid w:val="0080614F"/>
    <w:rsid w:val="00A22A53"/>
    <w:rsid w:val="00AC2586"/>
    <w:rsid w:val="00C46BB2"/>
    <w:rsid w:val="00D62A81"/>
    <w:rsid w:val="00DF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81"/>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9"/>
    <w:qFormat/>
    <w:rsid w:val="00DF5F6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2A81"/>
    <w:rPr>
      <w:color w:val="0000FF"/>
      <w:u w:val="single"/>
    </w:rPr>
  </w:style>
  <w:style w:type="paragraph" w:styleId="Header">
    <w:name w:val="header"/>
    <w:basedOn w:val="Normal"/>
    <w:link w:val="HeaderChar"/>
    <w:uiPriority w:val="99"/>
    <w:unhideWhenUsed/>
    <w:rsid w:val="00D62A8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62A81"/>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D62A8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62A81"/>
    <w:rPr>
      <w:rFonts w:ascii="Cambria" w:eastAsia="MS Mincho" w:hAnsi="Cambria" w:cs="Times New Roman"/>
      <w:sz w:val="24"/>
      <w:szCs w:val="24"/>
      <w:lang w:val="x-none" w:eastAsia="x-none"/>
    </w:rPr>
  </w:style>
  <w:style w:type="paragraph" w:styleId="BalloonText">
    <w:name w:val="Balloon Text"/>
    <w:basedOn w:val="Normal"/>
    <w:link w:val="BalloonTextChar"/>
    <w:uiPriority w:val="99"/>
    <w:semiHidden/>
    <w:unhideWhenUsed/>
    <w:rsid w:val="00D62A81"/>
    <w:rPr>
      <w:rFonts w:ascii="Tahoma" w:hAnsi="Tahoma" w:cs="Tahoma"/>
      <w:sz w:val="16"/>
      <w:szCs w:val="16"/>
    </w:rPr>
  </w:style>
  <w:style w:type="character" w:customStyle="1" w:styleId="BalloonTextChar">
    <w:name w:val="Balloon Text Char"/>
    <w:basedOn w:val="DefaultParagraphFont"/>
    <w:link w:val="BalloonText"/>
    <w:uiPriority w:val="99"/>
    <w:semiHidden/>
    <w:rsid w:val="00D62A81"/>
    <w:rPr>
      <w:rFonts w:ascii="Tahoma" w:eastAsia="MS Mincho" w:hAnsi="Tahoma" w:cs="Tahoma"/>
      <w:sz w:val="16"/>
      <w:szCs w:val="16"/>
    </w:rPr>
  </w:style>
  <w:style w:type="character" w:customStyle="1" w:styleId="Heading1Char">
    <w:name w:val="Heading 1 Char"/>
    <w:basedOn w:val="DefaultParagraphFont"/>
    <w:link w:val="Heading1"/>
    <w:uiPriority w:val="9"/>
    <w:rsid w:val="00DF5F69"/>
    <w:rPr>
      <w:rFonts w:eastAsia="Times New Roman" w:cs="Times New Roman"/>
      <w:b/>
      <w:bCs/>
      <w:kern w:val="36"/>
      <w:sz w:val="48"/>
      <w:szCs w:val="48"/>
    </w:rPr>
  </w:style>
  <w:style w:type="paragraph" w:styleId="NormalWeb">
    <w:name w:val="Normal (Web)"/>
    <w:basedOn w:val="Normal"/>
    <w:uiPriority w:val="99"/>
    <w:unhideWhenUsed/>
    <w:rsid w:val="00DF5F69"/>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81"/>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9"/>
    <w:qFormat/>
    <w:rsid w:val="00DF5F6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2A81"/>
    <w:rPr>
      <w:color w:val="0000FF"/>
      <w:u w:val="single"/>
    </w:rPr>
  </w:style>
  <w:style w:type="paragraph" w:styleId="Header">
    <w:name w:val="header"/>
    <w:basedOn w:val="Normal"/>
    <w:link w:val="HeaderChar"/>
    <w:uiPriority w:val="99"/>
    <w:unhideWhenUsed/>
    <w:rsid w:val="00D62A8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62A81"/>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D62A8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62A81"/>
    <w:rPr>
      <w:rFonts w:ascii="Cambria" w:eastAsia="MS Mincho" w:hAnsi="Cambria" w:cs="Times New Roman"/>
      <w:sz w:val="24"/>
      <w:szCs w:val="24"/>
      <w:lang w:val="x-none" w:eastAsia="x-none"/>
    </w:rPr>
  </w:style>
  <w:style w:type="paragraph" w:styleId="BalloonText">
    <w:name w:val="Balloon Text"/>
    <w:basedOn w:val="Normal"/>
    <w:link w:val="BalloonTextChar"/>
    <w:uiPriority w:val="99"/>
    <w:semiHidden/>
    <w:unhideWhenUsed/>
    <w:rsid w:val="00D62A81"/>
    <w:rPr>
      <w:rFonts w:ascii="Tahoma" w:hAnsi="Tahoma" w:cs="Tahoma"/>
      <w:sz w:val="16"/>
      <w:szCs w:val="16"/>
    </w:rPr>
  </w:style>
  <w:style w:type="character" w:customStyle="1" w:styleId="BalloonTextChar">
    <w:name w:val="Balloon Text Char"/>
    <w:basedOn w:val="DefaultParagraphFont"/>
    <w:link w:val="BalloonText"/>
    <w:uiPriority w:val="99"/>
    <w:semiHidden/>
    <w:rsid w:val="00D62A81"/>
    <w:rPr>
      <w:rFonts w:ascii="Tahoma" w:eastAsia="MS Mincho" w:hAnsi="Tahoma" w:cs="Tahoma"/>
      <w:sz w:val="16"/>
      <w:szCs w:val="16"/>
    </w:rPr>
  </w:style>
  <w:style w:type="character" w:customStyle="1" w:styleId="Heading1Char">
    <w:name w:val="Heading 1 Char"/>
    <w:basedOn w:val="DefaultParagraphFont"/>
    <w:link w:val="Heading1"/>
    <w:uiPriority w:val="9"/>
    <w:rsid w:val="00DF5F69"/>
    <w:rPr>
      <w:rFonts w:eastAsia="Times New Roman" w:cs="Times New Roman"/>
      <w:b/>
      <w:bCs/>
      <w:kern w:val="36"/>
      <w:sz w:val="48"/>
      <w:szCs w:val="48"/>
    </w:rPr>
  </w:style>
  <w:style w:type="paragraph" w:styleId="NormalWeb">
    <w:name w:val="Normal (Web)"/>
    <w:basedOn w:val="Normal"/>
    <w:uiPriority w:val="99"/>
    <w:unhideWhenUsed/>
    <w:rsid w:val="00DF5F6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0597">
      <w:bodyDiv w:val="1"/>
      <w:marLeft w:val="0"/>
      <w:marRight w:val="0"/>
      <w:marTop w:val="0"/>
      <w:marBottom w:val="0"/>
      <w:divBdr>
        <w:top w:val="none" w:sz="0" w:space="0" w:color="auto"/>
        <w:left w:val="none" w:sz="0" w:space="0" w:color="auto"/>
        <w:bottom w:val="none" w:sz="0" w:space="0" w:color="auto"/>
        <w:right w:val="none" w:sz="0" w:space="0" w:color="auto"/>
      </w:divBdr>
    </w:div>
    <w:div w:id="14539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hongtinbaochi@chinhphu.v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hongtinbaochi@chinhph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maixinhgai</dc:creator>
  <cp:lastModifiedBy>maixinhgai</cp:lastModifiedBy>
  <cp:revision>3</cp:revision>
  <dcterms:created xsi:type="dcterms:W3CDTF">2020-04-25T02:12:00Z</dcterms:created>
  <dcterms:modified xsi:type="dcterms:W3CDTF">2020-04-25T02:43:00Z</dcterms:modified>
</cp:coreProperties>
</file>